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5" w:name="requerimento-de-ordem-urgente"/>
    <w:p>
      <w:pPr>
        <w:pStyle w:val="Heading2"/>
      </w:pPr>
      <w:r>
        <w:t xml:space="preserve">REQUERIMENTO DE ORDEM URGENTE</w:t>
      </w:r>
    </w:p>
    <w:bookmarkStart w:id="9" w:name="Xa1413cd87b7e7e0d752af8504ecce7d25c6b949"/>
    <w:p>
      <w:pPr>
        <w:pStyle w:val="Heading3"/>
      </w:pPr>
      <w:r>
        <w:t xml:space="preserve">Suspensão do Regime de Visitas – Processo n.º</w:t>
      </w:r>
      <w:r>
        <w:t xml:space="preserve"> </w:t>
      </w:r>
      <w:r>
        <w:rPr>
          <w:b/>
          <w:bCs/>
        </w:rPr>
        <w:t xml:space="preserve">1234/2026</w:t>
      </w:r>
    </w:p>
    <w:p>
      <w:pPr>
        <w:pStyle w:val="FirstParagraph"/>
      </w:pPr>
      <w:r>
        <w:rPr>
          <w:b/>
          <w:bCs/>
        </w:rPr>
        <w:t xml:space="preserve">Autor/Requerente:</w:t>
      </w:r>
      <w:r>
        <w:t xml:space="preserve"> </w:t>
      </w:r>
      <w:r>
        <w:t xml:space="preserve">Maria da Conceição Silva, NIF 219 456 789, residente em Rua da Boavista, 45, 3.º Esq., 1200‑067 Lisboa.</w:t>
      </w:r>
    </w:p>
    <w:p>
      <w:pPr>
        <w:pStyle w:val="BodyText"/>
      </w:pPr>
      <w:r>
        <w:rPr>
          <w:b/>
          <w:bCs/>
        </w:rPr>
        <w:t xml:space="preserve">Réu/Requerido:</w:t>
      </w:r>
      <w:r>
        <w:t xml:space="preserve"> </w:t>
      </w:r>
      <w:r>
        <w:t xml:space="preserve">José António Pereira, NIF 123 987 654, residente em Avenida da República, 112, 2.º Dto., 4000‑123 Porto.</w:t>
      </w:r>
    </w:p>
    <w:p>
      <w:pPr>
        <w:pStyle w:val="BodyText"/>
      </w:pPr>
      <w:r>
        <w:rPr>
          <w:b/>
          <w:bCs/>
        </w:rPr>
        <w:t xml:space="preserve">Menor:</w:t>
      </w:r>
      <w:r>
        <w:t xml:space="preserve"> </w:t>
      </w:r>
      <w:r>
        <w:t xml:space="preserve">Ana Sofia Pereira, nascida a 10 de junho de 2018 (8 anos).</w:t>
      </w:r>
    </w:p>
    <w:p>
      <w:pPr>
        <w:pStyle w:val="BodyText"/>
      </w:pPr>
      <w:r>
        <w:rPr>
          <w:b/>
          <w:bCs/>
        </w:rPr>
        <w:t xml:space="preserve">Mandatários:</w:t>
      </w:r>
      <w:r>
        <w:br/>
      </w:r>
      <w:r>
        <w:t xml:space="preserve">- Dr. Ana Sofia Martins, Ordem dos Advogados 12345, com escritório em Rua das Flores, 12, 1150‑200 Lisboa.</w:t>
      </w:r>
      <w:r>
        <w:br/>
      </w:r>
      <w:r>
        <w:t xml:space="preserve">- Dr. Luís Fernando Carvalho, Ordem dos Advogados 67890, com escritório em Avenida da Liberdade, 250, 1250‑147 Lisboa.</w:t>
      </w:r>
    </w:p>
    <w:p>
      <w:pPr>
        <w:pStyle w:val="BodyText"/>
      </w:pPr>
      <w:r>
        <w:rPr>
          <w:b/>
          <w:bCs/>
        </w:rPr>
        <w:t xml:space="preserve">Juiz:</w:t>
      </w:r>
      <w:r>
        <w:t xml:space="preserve"> </w:t>
      </w:r>
      <w:r>
        <w:t xml:space="preserve">Juiz de Direito da Vara da Família e dos Menores da Comarca de Lisboa.</w:t>
      </w:r>
    </w:p>
    <w:p>
      <w:pPr>
        <w:pStyle w:val="BodyText"/>
      </w:pPr>
      <w:r>
        <w:rPr>
          <w:b/>
          <w:bCs/>
        </w:rPr>
        <w:t xml:space="preserve">Data:</w:t>
      </w:r>
      <w:r>
        <w:t xml:space="preserve"> </w:t>
      </w:r>
      <w:r>
        <w:t xml:space="preserve">22 de fevereiro de 2026.</w:t>
      </w:r>
    </w:p>
    <w:p>
      <w:r>
        <w:pict>
          <v:rect style="width:0;height:1.5pt" o:hralign="center" o:hrstd="t" o:hr="t"/>
        </w:pict>
      </w:r>
    </w:p>
    <w:bookmarkEnd w:id="9"/>
    <w:bookmarkStart w:id="10" w:name="i.-exposição-de-factos"/>
    <w:p>
      <w:pPr>
        <w:pStyle w:val="Heading3"/>
      </w:pPr>
      <w:r>
        <w:t xml:space="preserve">I. Exposição de Factos</w:t>
      </w:r>
    </w:p>
    <w:p>
      <w:pPr>
        <w:numPr>
          <w:ilvl w:val="0"/>
          <w:numId w:val="1001"/>
        </w:numPr>
      </w:pPr>
      <w:r>
        <w:t xml:space="preserve">Em 15 de janeiro de 2025 foi proferida sentença nos autos do processo n.º 1234/2026, a qual fixou a guarda</w:t>
      </w:r>
      <w:r>
        <w:t xml:space="preserve"> </w:t>
      </w:r>
      <w:r>
        <w:rPr>
          <w:b/>
          <w:bCs/>
        </w:rPr>
        <w:t xml:space="preserve">unilateral</w:t>
      </w:r>
      <w:r>
        <w:t xml:space="preserve"> </w:t>
      </w:r>
      <w:r>
        <w:t xml:space="preserve">da menor Ana Sofia Pereira a favor da mãe,</w:t>
      </w:r>
      <w:r>
        <w:t xml:space="preserve"> </w:t>
      </w:r>
      <w:r>
        <w:rPr>
          <w:b/>
          <w:bCs/>
        </w:rPr>
        <w:t xml:space="preserve">Maria da Conceição Silva</w:t>
      </w:r>
      <w:r>
        <w:t xml:space="preserve">, bem como estabeleceu o</w:t>
      </w:r>
      <w:r>
        <w:t xml:space="preserve"> </w:t>
      </w:r>
      <w:r>
        <w:rPr>
          <w:b/>
          <w:bCs/>
        </w:rPr>
        <w:t xml:space="preserve">regime de visitas</w:t>
      </w:r>
      <w:r>
        <w:t xml:space="preserve"> </w:t>
      </w:r>
      <w:r>
        <w:t xml:space="preserve">ao pai,</w:t>
      </w:r>
      <w:r>
        <w:t xml:space="preserve"> </w:t>
      </w:r>
      <w:r>
        <w:rPr>
          <w:b/>
          <w:bCs/>
        </w:rPr>
        <w:t xml:space="preserve">José António Pereira</w:t>
      </w:r>
      <w:r>
        <w:t xml:space="preserve">, nos termos seguintes:</w:t>
      </w:r>
    </w:p>
    <w:p>
      <w:pPr>
        <w:pStyle w:val="Compact"/>
        <w:numPr>
          <w:ilvl w:val="1"/>
          <w:numId w:val="1002"/>
        </w:numPr>
      </w:pPr>
      <w:r>
        <w:t xml:space="preserve">Visitas quinzenais, aos sábados, das 10h00 às 18h00, sem supervisão;</w:t>
      </w:r>
      <w:r>
        <w:br/>
      </w:r>
    </w:p>
    <w:p>
      <w:pPr>
        <w:pStyle w:val="Compact"/>
        <w:numPr>
          <w:ilvl w:val="1"/>
          <w:numId w:val="1002"/>
        </w:numPr>
      </w:pPr>
      <w:r>
        <w:t xml:space="preserve">Direito a períodos de férias escolares em regime de alternância anual.</w:t>
      </w:r>
    </w:p>
    <w:p>
      <w:pPr>
        <w:numPr>
          <w:ilvl w:val="0"/>
          <w:numId w:val="1001"/>
        </w:numPr>
      </w:pPr>
      <w:r>
        <w:t xml:space="preserve">Desde a data da sentença, o réu tem</w:t>
      </w:r>
      <w:r>
        <w:t xml:space="preserve"> </w:t>
      </w:r>
      <w:r>
        <w:rPr>
          <w:b/>
          <w:bCs/>
        </w:rPr>
        <w:t xml:space="preserve">descumprido reiteradamente</w:t>
      </w:r>
      <w:r>
        <w:t xml:space="preserve"> </w:t>
      </w:r>
      <w:r>
        <w:t xml:space="preserve">o regime de visitas, ausentando‑se sem comunicação prévia e, quando comparece, demonstra comportamento agressivo e desestabilizador para a menor.</w:t>
      </w:r>
    </w:p>
    <w:p>
      <w:pPr>
        <w:numPr>
          <w:ilvl w:val="0"/>
          <w:numId w:val="1001"/>
        </w:numPr>
      </w:pPr>
      <w:r>
        <w:t xml:space="preserve">Em</w:t>
      </w:r>
      <w:r>
        <w:t xml:space="preserve"> </w:t>
      </w:r>
      <w:r>
        <w:rPr>
          <w:b/>
          <w:bCs/>
        </w:rPr>
        <w:t xml:space="preserve">10 de novembro de 2025</w:t>
      </w:r>
      <w:r>
        <w:t xml:space="preserve">, a mãe constatou que o pai mudou unilateralmente a sua residência para a cidade do</w:t>
      </w:r>
      <w:r>
        <w:t xml:space="preserve"> </w:t>
      </w:r>
      <w:r>
        <w:rPr>
          <w:b/>
          <w:bCs/>
        </w:rPr>
        <w:t xml:space="preserve">Funchal, Madeira</w:t>
      </w:r>
      <w:r>
        <w:t xml:space="preserve">, sem notificar a mãe nem solicitar a alteração do regime de visitas, violando o princípio da</w:t>
      </w:r>
      <w:r>
        <w:t xml:space="preserve"> </w:t>
      </w:r>
      <w:r>
        <w:rPr>
          <w:b/>
          <w:bCs/>
        </w:rPr>
        <w:t xml:space="preserve">co‑responsabilidade parental</w:t>
      </w:r>
      <w:r>
        <w:t xml:space="preserve"> </w:t>
      </w:r>
      <w:r>
        <w:t xml:space="preserve">e a obrigação de</w:t>
      </w:r>
      <w:r>
        <w:t xml:space="preserve"> </w:t>
      </w:r>
      <w:r>
        <w:rPr>
          <w:b/>
          <w:bCs/>
        </w:rPr>
        <w:t xml:space="preserve">informar</w:t>
      </w:r>
      <w:r>
        <w:t xml:space="preserve"> </w:t>
      </w:r>
      <w:r>
        <w:t xml:space="preserve">a outra parte sobre alterações de facto relevantes.</w:t>
      </w:r>
    </w:p>
    <w:p>
      <w:pPr>
        <w:numPr>
          <w:ilvl w:val="0"/>
          <w:numId w:val="1001"/>
        </w:numPr>
      </w:pPr>
      <w:r>
        <w:t xml:space="preserve">A menor tem apresentado</w:t>
      </w:r>
      <w:r>
        <w:t xml:space="preserve"> </w:t>
      </w:r>
      <w:r>
        <w:rPr>
          <w:b/>
          <w:bCs/>
        </w:rPr>
        <w:t xml:space="preserve">sinais de ansiedade e insegurança</w:t>
      </w:r>
      <w:r>
        <w:t xml:space="preserve">, conforme relatado pela própria mãe e pelos professores da Escola Básica de Lisboa, que observaram queda de rendimento escolar e episódios de choro frequente nas primeiras semanas de visita.</w:t>
      </w:r>
    </w:p>
    <w:p>
      <w:pPr>
        <w:numPr>
          <w:ilvl w:val="0"/>
          <w:numId w:val="1001"/>
        </w:numPr>
      </w:pPr>
      <w:r>
        <w:t xml:space="preserve">Em</w:t>
      </w:r>
      <w:r>
        <w:t xml:space="preserve"> </w:t>
      </w:r>
      <w:r>
        <w:rPr>
          <w:b/>
          <w:bCs/>
        </w:rPr>
        <w:t xml:space="preserve">5 de dezembro de 2025</w:t>
      </w:r>
      <w:r>
        <w:t xml:space="preserve">, a mãe solicitou ao Conselho de Proteção de Crianças e Jovens (CPCJ) a realização de</w:t>
      </w:r>
      <w:r>
        <w:t xml:space="preserve"> </w:t>
      </w:r>
      <w:r>
        <w:rPr>
          <w:b/>
          <w:bCs/>
        </w:rPr>
        <w:t xml:space="preserve">perícia psicológica</w:t>
      </w:r>
      <w:r>
        <w:t xml:space="preserve"> </w:t>
      </w:r>
      <w:r>
        <w:t xml:space="preserve">à menor, a fim de avaliar o impacto das visitas no seu bem‑estar emocional. O CPCJ encaminhou o pedido, mas ainda não houve conclusão da avaliação.</w:t>
      </w:r>
    </w:p>
    <w:p>
      <w:pPr>
        <w:numPr>
          <w:ilvl w:val="0"/>
          <w:numId w:val="1001"/>
        </w:numPr>
      </w:pPr>
      <w:r>
        <w:t xml:space="preserve">Dada a</w:t>
      </w:r>
      <w:r>
        <w:t xml:space="preserve"> </w:t>
      </w:r>
      <w:r>
        <w:rPr>
          <w:b/>
          <w:bCs/>
        </w:rPr>
        <w:t xml:space="preserve">gravidade dos factos</w:t>
      </w:r>
      <w:r>
        <w:t xml:space="preserve"> </w:t>
      </w:r>
      <w:r>
        <w:t xml:space="preserve">e a</w:t>
      </w:r>
      <w:r>
        <w:t xml:space="preserve"> </w:t>
      </w:r>
      <w:r>
        <w:rPr>
          <w:b/>
          <w:bCs/>
        </w:rPr>
        <w:t xml:space="preserve">necessidade de salvaguardar o melhor interesse da menor</w:t>
      </w:r>
      <w:r>
        <w:t xml:space="preserve">, a requerente entende ser imprescindível a</w:t>
      </w:r>
      <w:r>
        <w:t xml:space="preserve"> </w:t>
      </w:r>
      <w:r>
        <w:rPr>
          <w:b/>
          <w:bCs/>
        </w:rPr>
        <w:t xml:space="preserve">suspensão temporária</w:t>
      </w:r>
      <w:r>
        <w:t xml:space="preserve"> </w:t>
      </w:r>
      <w:r>
        <w:t xml:space="preserve">do regime de visitas até à conclusão da perícia psicológica, a fim de evitar danos psicológicos adicionais.</w:t>
      </w:r>
    </w:p>
    <w:p>
      <w:r>
        <w:pict>
          <v:rect style="width:0;height:1.5pt" o:hralign="center" o:hrstd="t" o:hr="t"/>
        </w:pict>
      </w:r>
    </w:p>
    <w:bookmarkEnd w:id="10"/>
    <w:bookmarkStart w:id="11" w:name="ii.-fundamentação-jurídica"/>
    <w:p>
      <w:pPr>
        <w:pStyle w:val="Heading3"/>
      </w:pPr>
      <w:r>
        <w:t xml:space="preserve">II. Fundamentação Jurídica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Constituição da República Portuguesa</w:t>
      </w:r>
      <w:r>
        <w:t xml:space="preserve">, art. 136.º, que estabelece o princípio do</w:t>
      </w:r>
      <w:r>
        <w:t xml:space="preserve"> </w:t>
      </w:r>
      <w:r>
        <w:rPr>
          <w:b/>
          <w:bCs/>
        </w:rPr>
        <w:t xml:space="preserve">melhor interesse da criança</w:t>
      </w:r>
      <w:r>
        <w:t xml:space="preserve"> </w:t>
      </w:r>
      <w:r>
        <w:t xml:space="preserve">como critério preponderante nas decisões judiciais que a afetem.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Código Civil</w:t>
      </w:r>
      <w:r>
        <w:t xml:space="preserve">, art. 1870.º e seguintes, que regulam a</w:t>
      </w:r>
      <w:r>
        <w:t xml:space="preserve"> </w:t>
      </w:r>
      <w:r>
        <w:rPr>
          <w:b/>
          <w:bCs/>
        </w:rPr>
        <w:t xml:space="preserve">responsabilidade parental</w:t>
      </w:r>
      <w:r>
        <w:t xml:space="preserve"> </w:t>
      </w:r>
      <w:r>
        <w:t xml:space="preserve">e impõem a obrigação de cooperação entre os genitores, bem como a necessidade de</w:t>
      </w:r>
      <w:r>
        <w:t xml:space="preserve"> </w:t>
      </w:r>
      <w:r>
        <w:rPr>
          <w:b/>
          <w:bCs/>
        </w:rPr>
        <w:t xml:space="preserve">proteger a saúde física e psicológica</w:t>
      </w:r>
      <w:r>
        <w:t xml:space="preserve"> </w:t>
      </w:r>
      <w:r>
        <w:t xml:space="preserve">da criança.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Código de Processo Civil</w:t>
      </w:r>
      <w:r>
        <w:t xml:space="preserve">, art. 562.º, que faculta ao juiz, em sede de urgência, a concessão de</w:t>
      </w:r>
      <w:r>
        <w:t xml:space="preserve"> </w:t>
      </w:r>
      <w:r>
        <w:rPr>
          <w:b/>
          <w:bCs/>
        </w:rPr>
        <w:t xml:space="preserve">ordens provisórias</w:t>
      </w:r>
      <w:r>
        <w:t xml:space="preserve"> </w:t>
      </w:r>
      <w:r>
        <w:t xml:space="preserve">quando houver risco iminente de dano irreparável ou de difícil reparação.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Lei n.º 147/99, de 1 de setembro</w:t>
      </w:r>
      <w:r>
        <w:t xml:space="preserve">, que regula o</w:t>
      </w:r>
      <w:r>
        <w:t xml:space="preserve"> </w:t>
      </w:r>
      <w:r>
        <w:rPr>
          <w:b/>
          <w:bCs/>
        </w:rPr>
        <w:t xml:space="preserve">direito das crianças e dos jovens</w:t>
      </w:r>
      <w:r>
        <w:t xml:space="preserve">, nomeadamente o art. 12.º, que assegura a proteção contra situações que possam comprometer a sua saúde mental.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Jurisprudência</w:t>
      </w:r>
      <w:r>
        <w:t xml:space="preserve"> </w:t>
      </w:r>
      <w:r>
        <w:t xml:space="preserve">do Supremo Tribunal de Justiça (STJ) – Acórdão n.º 112/2023, de 15 de março, que reconheceu a possibilidade de suspender o regime de visitas quando existirem indícios fundados de que a mesma possa gerar</w:t>
      </w:r>
      <w:r>
        <w:t xml:space="preserve"> </w:t>
      </w:r>
      <w:r>
        <w:rPr>
          <w:b/>
          <w:bCs/>
        </w:rPr>
        <w:t xml:space="preserve">trauma psicológico</w:t>
      </w:r>
      <w:r>
        <w:t xml:space="preserve"> </w:t>
      </w:r>
      <w:r>
        <w:t xml:space="preserve">à criança.</w:t>
      </w:r>
    </w:p>
    <w:p>
      <w:r>
        <w:pict>
          <v:rect style="width:0;height:1.5pt" o:hralign="center" o:hrstd="t" o:hr="t"/>
        </w:pict>
      </w:r>
    </w:p>
    <w:bookmarkEnd w:id="11"/>
    <w:bookmarkStart w:id="12" w:name="iii.-pedido"/>
    <w:p>
      <w:pPr>
        <w:pStyle w:val="Heading3"/>
      </w:pPr>
      <w:r>
        <w:t xml:space="preserve">III. Pedido</w:t>
      </w:r>
    </w:p>
    <w:p>
      <w:pPr>
        <w:pStyle w:val="FirstParagraph"/>
      </w:pPr>
      <w:r>
        <w:t xml:space="preserve">Face ao exposto, a requerente vem, respeitosamente, à presença de Vossa Excelência requerer: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173"/>
        <w:gridCol w:w="2346"/>
        <w:gridCol w:w="440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Nº</w:t>
            </w:r>
          </w:p>
        </w:tc>
        <w:tc>
          <w:tcPr/>
          <w:p>
            <w:pPr>
              <w:pStyle w:val="Compact"/>
            </w:pPr>
            <w:r>
              <w:t xml:space="preserve">Pedido</w:t>
            </w:r>
          </w:p>
        </w:tc>
        <w:tc>
          <w:tcPr/>
          <w:p>
            <w:pPr>
              <w:pStyle w:val="Compact"/>
            </w:pPr>
            <w:r>
              <w:t xml:space="preserve">Fundamentação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 concessão de ordem urgente</w:t>
            </w:r>
            <w:r>
              <w:t xml:space="preserve"> </w:t>
            </w:r>
            <w:r>
              <w:t xml:space="preserve">para</w:t>
            </w:r>
            <w:r>
              <w:t xml:space="preserve"> </w:t>
            </w:r>
            <w:r>
              <w:rPr>
                <w:b/>
                <w:bCs/>
              </w:rPr>
              <w:t xml:space="preserve">suspender, de forma provisória e até decisão final</w:t>
            </w:r>
            <w:r>
              <w:t xml:space="preserve">, o regime de visitas anteriormente fixado ao réu</w:t>
            </w:r>
            <w:r>
              <w:t xml:space="preserve"> </w:t>
            </w:r>
            <w:r>
              <w:rPr>
                <w:b/>
                <w:bCs/>
              </w:rPr>
              <w:t xml:space="preserve">José António Pereira</w:t>
            </w:r>
            <w:r>
              <w:t xml:space="preserve">, nos termos da sentença de 15 de janeiro de 2025.</w:t>
            </w:r>
          </w:p>
        </w:tc>
        <w:tc>
          <w:tcPr/>
          <w:p>
            <w:pPr>
              <w:pStyle w:val="Compact"/>
            </w:pPr>
            <w:r>
              <w:t xml:space="preserve">Art. 562.º CPC; risco de dano psicológico à menor.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 nomeação de perito psicólogo</w:t>
            </w:r>
            <w:r>
              <w:t xml:space="preserve"> </w:t>
            </w:r>
            <w:r>
              <w:t xml:space="preserve">(nome sugerido: Dr.ª Cláudia Mendes, especialista em psicologia infantil) para</w:t>
            </w:r>
            <w:r>
              <w:t xml:space="preserve"> </w:t>
            </w:r>
            <w:r>
              <w:rPr>
                <w:b/>
                <w:bCs/>
              </w:rPr>
              <w:t xml:space="preserve">realizar avaliação psicológica</w:t>
            </w:r>
            <w:r>
              <w:t xml:space="preserve"> </w:t>
            </w:r>
            <w:r>
              <w:t xml:space="preserve">da menor Ana Sofia Pereira, com prazo máximo de 30 dias.</w:t>
            </w:r>
          </w:p>
        </w:tc>
        <w:tc>
          <w:tcPr/>
          <w:p>
            <w:pPr>
              <w:pStyle w:val="Compact"/>
            </w:pPr>
            <w:r>
              <w:t xml:space="preserve">Art. 1870.º CC; necessidade de prova pericial.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 fixação de visitações supervisionadas</w:t>
            </w:r>
            <w:r>
              <w:t xml:space="preserve">, a serem realizadas em centro de mediação familiar ou outra entidade habilitada,</w:t>
            </w:r>
            <w:r>
              <w:t xml:space="preserve"> </w:t>
            </w:r>
            <w:r>
              <w:rPr>
                <w:b/>
                <w:bCs/>
              </w:rPr>
              <w:t xml:space="preserve">apenas após a conclusão da perícia</w:t>
            </w:r>
            <w:r>
              <w:t xml:space="preserve"> </w:t>
            </w:r>
            <w:r>
              <w:t xml:space="preserve">e avaliação positiva do perito.</w:t>
            </w:r>
          </w:p>
        </w:tc>
        <w:tc>
          <w:tcPr/>
          <w:p>
            <w:pPr>
              <w:pStyle w:val="Compact"/>
            </w:pPr>
            <w:r>
              <w:t xml:space="preserve">Art. 1871.º CC; garantia de segurança da menor.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 condenação do réu</w:t>
            </w:r>
            <w:r>
              <w:t xml:space="preserve"> </w:t>
            </w:r>
            <w:r>
              <w:t xml:space="preserve">ao pagamento das custas processuais e dos honorários do perito, nos termos do art. 726.º CPC.</w:t>
            </w:r>
          </w:p>
        </w:tc>
        <w:tc>
          <w:tcPr/>
          <w:p>
            <w:pPr>
              <w:pStyle w:val="Compact"/>
            </w:pPr>
            <w:r>
              <w:t xml:space="preserve">Princípio da responsabilidade pelos atos.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 comunicação imediata</w:t>
            </w:r>
            <w:r>
              <w:t xml:space="preserve"> </w:t>
            </w:r>
            <w:r>
              <w:t xml:space="preserve">ao CPCJ e ao Ministério Público, para que adotem as medidas de proteção que considerarem necessárias.</w:t>
            </w:r>
          </w:p>
        </w:tc>
        <w:tc>
          <w:tcPr/>
          <w:p>
            <w:pPr>
              <w:pStyle w:val="Compact"/>
            </w:pPr>
            <w:r>
              <w:t xml:space="preserve">Art. 136.º da Constituição; art. 31.º do Código de Proteção de Crianças e Jovens.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2"/>
    <w:bookmarkStart w:id="13" w:name="iv.-provas"/>
    <w:p>
      <w:pPr>
        <w:pStyle w:val="Heading3"/>
      </w:pPr>
      <w:r>
        <w:t xml:space="preserve">IV. Provas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Cópia da sentença</w:t>
      </w:r>
      <w:r>
        <w:t xml:space="preserve"> </w:t>
      </w:r>
      <w:r>
        <w:t xml:space="preserve">proferida em 15 de janeiro de 2025 (processo n.º 1234/2026).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Relatórios escolares</w:t>
      </w:r>
      <w:r>
        <w:t xml:space="preserve"> </w:t>
      </w:r>
      <w:r>
        <w:t xml:space="preserve">da Escola Básica de Lisboa (período de setembro a dezembro de 2025).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Comunicações eletrónicas</w:t>
      </w:r>
      <w:r>
        <w:t xml:space="preserve"> </w:t>
      </w:r>
      <w:r>
        <w:t xml:space="preserve">entre a mãe e o pai que demonstram a mudança de residência e a recusa em adaptar o regime de visitas.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Parecer do CPCJ</w:t>
      </w:r>
      <w:r>
        <w:t xml:space="preserve"> </w:t>
      </w:r>
      <w:r>
        <w:t xml:space="preserve">(pedido de perícia psicológica, datado de 5 de dezembro de 2025).</w:t>
      </w:r>
    </w:p>
    <w:p>
      <w:r>
        <w:pict>
          <v:rect style="width:0;height:1.5pt" o:hralign="center" o:hrstd="t" o:hr="t"/>
        </w:pict>
      </w:r>
    </w:p>
    <w:bookmarkEnd w:id="13"/>
    <w:bookmarkStart w:id="14" w:name="v.-termos-de-satisfação"/>
    <w:p>
      <w:pPr>
        <w:pStyle w:val="Heading3"/>
      </w:pPr>
      <w:r>
        <w:t xml:space="preserve">V. Termos de Satisfação</w:t>
      </w:r>
    </w:p>
    <w:p>
      <w:pPr>
        <w:pStyle w:val="FirstParagraph"/>
      </w:pPr>
      <w:r>
        <w:t xml:space="preserve">Nestes termos, pede deferimento.</w:t>
      </w:r>
    </w:p>
    <w:p>
      <w:pPr>
        <w:pStyle w:val="BodyText"/>
      </w:pPr>
      <w:r>
        <w:t xml:space="preserve">Lisboa, 22 de fevereiro de 2026.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Dr. Ana Sofia Martins</w:t>
      </w:r>
      <w:r>
        <w:br/>
      </w:r>
      <w:r>
        <w:t xml:space="preserve">OAB 12345</w:t>
      </w:r>
      <w:r>
        <w:br/>
      </w:r>
      <w:r>
        <w:t xml:space="preserve">Advogada da Autora</w:t>
      </w:r>
    </w:p>
    <w:p>
      <w:pPr>
        <w:pStyle w:val="BodyText"/>
      </w:pPr>
      <w:r>
        <w:rPr>
          <w:b/>
          <w:bCs/>
        </w:rPr>
        <w:t xml:space="preserve">Dr. Luís Fernando Carvalho</w:t>
      </w:r>
      <w:r>
        <w:br/>
      </w:r>
      <w:r>
        <w:t xml:space="preserve">OAB 67890</w:t>
      </w:r>
      <w:r>
        <w:br/>
      </w:r>
      <w:r>
        <w:t xml:space="preserve">Advogado da Autora</w:t>
      </w:r>
    </w:p>
    <w:p>
      <w:pPr>
        <w:pStyle w:val="BodyText"/>
      </w:pPr>
      <w:r>
        <w:rPr>
          <w:i/>
          <w:iCs/>
        </w:rPr>
        <w:t xml:space="preserve">Endereço do escritório:</w:t>
      </w:r>
      <w:r>
        <w:t xml:space="preserve"> </w:t>
      </w:r>
      <w:r>
        <w:t xml:space="preserve">Rua das Flores, 12, 1150‑200 Lisboa.</w:t>
      </w:r>
      <w:r>
        <w:br/>
      </w:r>
      <w:r>
        <w:rPr>
          <w:i/>
          <w:iCs/>
        </w:rPr>
        <w:t xml:space="preserve">Telefone:</w:t>
      </w:r>
      <w:r>
        <w:t xml:space="preserve"> </w:t>
      </w:r>
      <w:r>
        <w:t xml:space="preserve">213 456 789 |</w:t>
      </w:r>
      <w:r>
        <w:t xml:space="preserve"> </w:t>
      </w:r>
      <w:r>
        <w:rPr>
          <w:i/>
          <w:iCs/>
        </w:rPr>
        <w:t xml:space="preserve">E‑mail:</w:t>
      </w:r>
      <w:r>
        <w:t xml:space="preserve"> </w:t>
      </w:r>
      <w:r>
        <w:t xml:space="preserve">ana.martins@advocacia.pt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i/>
          <w:iCs/>
        </w:rPr>
        <w:t xml:space="preserve">Certifico que as informações prestadas neste requerimento correspondem à verdade dos factos, nos termos do art. 254.º do Código de Processo Civil.</w:t>
      </w:r>
    </w:p>
    <w:bookmarkEnd w:id="14"/>
    <w:bookmarkEnd w:id="15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2026-02-22T18:47:58Z</dcterms:created>
  <dcterms:modified xsi:type="dcterms:W3CDTF">2026-02-22T18:47:58Z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